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288" w:before="0" w:after="642"/>
        <w:ind w:left="40" w:right="0" w:hanging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2"/>
        <w:shd w:val="clear" w:color="auto" w:fill="auto"/>
        <w:rPr>
          <w:rFonts w:ascii="Times New Roman" w:hAnsi="Times New Roman" w:cs="Times New Roman"/>
        </w:rPr>
      </w:pPr>
      <w:r>
        <w:rPr>
          <w:rFonts w:eastAsia="Times New Roman" w:cs="Times New Roman"/>
        </w:rPr>
        <w:t>1. Общая информация</w:t>
      </w:r>
    </w:p>
    <w:p>
      <w:pPr>
        <w:pStyle w:val="22"/>
        <w:shd w:val="clear" w:color="auto" w:fill="auto"/>
        <w:rPr>
          <w:rFonts w:ascii="Times New Roman" w:hAnsi="Times New Roman" w:cs="Times New Roman"/>
        </w:rPr>
      </w:pPr>
      <w:r>
        <w:rPr>
          <w:rFonts w:cs="Times New Roman"/>
        </w:rPr>
      </w:r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2126"/>
        <w:gridCol w:w="6511"/>
      </w:tblGrid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 w:bidi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 w:bidi="ru-RU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Наименование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Информация по лоту</w:t>
            </w:r>
          </w:p>
        </w:tc>
      </w:tr>
      <w:tr>
        <w:trPr>
          <w:trHeight w:val="859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Наименование лота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60" w:after="60"/>
              <w:ind w:left="0" w:right="35" w:hanging="0"/>
              <w:jc w:val="both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en-US"/>
              </w:rPr>
              <w:t>ОКПД2 41.20.40 Выполнение работ по ремонту производственных зданий и сооружений Комсомольской ТЭЦ-1, Комсомольской ТЭЦ-2, г. Комсомольск-на-Амуре</w:t>
            </w:r>
          </w:p>
        </w:tc>
      </w:tr>
      <w:tr>
        <w:trPr>
          <w:trHeight w:val="415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Номер лота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</w:rPr>
              <w:t>11029013-РЕМ ПРОД-2026-ДГК-КТЭЦ2</w:t>
            </w:r>
          </w:p>
        </w:tc>
      </w:tr>
      <w:tr>
        <w:trPr>
          <w:trHeight w:val="436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НМЦ лота</w:t>
            </w:r>
          </w:p>
        </w:tc>
        <w:tc>
          <w:tcPr>
            <w:tcW w:w="6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en-US"/>
              </w:rPr>
              <w:t xml:space="preserve">15 545 816,00 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bidi="ru-RU"/>
              </w:rPr>
              <w:t>рублей без учёта НДС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widowControl w:val="false"/>
        <w:spacing w:lineRule="exact" w:line="244" w:before="0" w:after="60"/>
        <w:ind w:left="44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 w:bidi="ru-RU"/>
        </w:rPr>
        <w:t>Метод анализа: ресурсно-индексный.</w:t>
      </w:r>
    </w:p>
    <w:p>
      <w:pPr>
        <w:pStyle w:val="Normal"/>
        <w:widowControl w:val="false"/>
        <w:spacing w:lineRule="exact" w:line="244" w:before="0" w:after="60"/>
        <w:ind w:left="44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 w:bidi="ru-RU"/>
        </w:rPr>
        <w:t>Обоснование расчета НМЦ: прилагаемый сводный сметный расчет (приложение №4 к Техническим требованиям).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qFormat/>
    <w:pPr>
      <w:keepNext w:val="true"/>
      <w:keepLines/>
      <w:numPr>
        <w:ilvl w:val="0"/>
      </w:numPr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qFormat/>
    <w:pPr>
      <w:keepNext w:val="true"/>
      <w:keepLines/>
      <w:numPr>
        <w:ilvl w:val="0"/>
      </w:numPr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qFormat/>
    <w:pPr>
      <w:keepNext w:val="true"/>
      <w:keepLines/>
      <w:numPr>
        <w:ilvl w:val="0"/>
      </w:numPr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qFormat/>
    <w:pPr>
      <w:keepNext w:val="true"/>
      <w:keepLines/>
      <w:numPr>
        <w:ilvl w:val="0"/>
      </w:numPr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qFormat/>
    <w:pPr>
      <w:keepNext w:val="true"/>
      <w:keepLines/>
      <w:numPr>
        <w:ilvl w:val="0"/>
      </w:numPr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qFormat/>
    <w:pPr>
      <w:keepNext w:val="true"/>
      <w:keepLines/>
      <w:numPr>
        <w:ilvl w:val="0"/>
      </w:numPr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qFormat/>
    <w:pPr>
      <w:keepNext w:val="true"/>
      <w:keepLines/>
      <w:numPr>
        <w:ilvl w:val="0"/>
      </w:numPr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qFormat/>
    <w:pPr>
      <w:keepNext w:val="true"/>
      <w:keepLines/>
      <w:numPr>
        <w:ilvl w:val="0"/>
      </w:numPr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qFormat/>
    <w:pPr>
      <w:keepNext w:val="true"/>
      <w:keepLines/>
      <w:numPr>
        <w:ilvl w:val="0"/>
      </w:numPr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Style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qFormat/>
    <w:rPr>
      <w:sz w:val="48"/>
      <w:szCs w:val="48"/>
    </w:rPr>
  </w:style>
  <w:style w:type="character" w:styleId="SubtitleChar">
    <w:name w:val="Subtitle Char"/>
    <w:basedOn w:val="DefaultParagraphFont"/>
    <w:qFormat/>
    <w:rPr>
      <w:sz w:val="24"/>
      <w:szCs w:val="24"/>
    </w:rPr>
  </w:style>
  <w:style w:type="character" w:styleId="QuoteChar">
    <w:name w:val="Quote Char"/>
    <w:qFormat/>
    <w:rPr>
      <w:i/>
    </w:rPr>
  </w:style>
  <w:style w:type="character" w:styleId="IntenseQuoteChar">
    <w:name w:val="Intense Quote Char"/>
    <w:qFormat/>
    <w:rPr>
      <w:i/>
    </w:rPr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CaptionChar">
    <w:name w:val="Caption Char"/>
    <w:qFormat/>
    <w:rPr/>
  </w:style>
  <w:style w:type="character" w:styleId="FootnoteTextChar">
    <w:name w:val="Footnote Text Char"/>
    <w:qFormat/>
    <w:rPr>
      <w:sz w:val="18"/>
    </w:rPr>
  </w:style>
  <w:style w:type="character" w:styleId="FootnoteCharacters">
    <w:name w:val="Footnote Characters"/>
    <w:qFormat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EndnoteCharacters">
    <w:name w:val="Endnote Characters"/>
    <w:qFormat/>
    <w:rPr>
      <w:vertAlign w:val="superscript"/>
    </w:rPr>
  </w:style>
  <w:style w:type="character" w:styleId="14">
    <w:name w:val="Основной текст (14)_"/>
    <w:basedOn w:val="DefaultParagraphFont"/>
    <w:qFormat/>
    <w:rPr>
      <w:rFonts w:ascii="Times New Roman" w:hAnsi="Times New Roman" w:eastAsia="Times New Roman" w:cs="Times New Roman"/>
      <w:shd w:fill="FFFFFF" w:val="clear"/>
    </w:rPr>
  </w:style>
  <w:style w:type="character" w:styleId="2">
    <w:name w:val="Подпись к таблице (2)_"/>
    <w:basedOn w:val="DefaultParagraphFont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1">
    <w:name w:val="Основной текст (2)_"/>
    <w:basedOn w:val="DefaultParagraphFont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>
    <w:name w:val="Основной текст (2) + 11 pt"/>
    <w:basedOn w:val="21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character" w:styleId="Style2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link w:val="CaptionChar"/>
    <w:qFormat/>
    <w:pPr>
      <w:spacing w:lineRule="auto" w:line="276"/>
    </w:pPr>
    <w:rPr>
      <w:b/>
      <w:bCs/>
      <w:color w:val="5B9BD5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Droid Sans Devanagari"/>
    </w:rPr>
  </w:style>
  <w:style w:type="paragraph" w:styleId="Title">
    <w:name w:val="Title"/>
    <w:basedOn w:val="Normal"/>
    <w:next w:val="BodyText"/>
    <w:qFormat/>
    <w:pPr>
      <w:spacing w:before="300" w:after="200"/>
      <w:contextualSpacing/>
    </w:pPr>
    <w:rPr>
      <w:sz w:val="48"/>
      <w:szCs w:val="48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ubtitle">
    <w:name w:val="Subtitle"/>
    <w:basedOn w:val="Normal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pPr>
      <w:spacing w:before="0" w:after="57"/>
    </w:pPr>
    <w:rPr/>
  </w:style>
  <w:style w:type="paragraph" w:styleId="TOC2">
    <w:name w:val="TOC 2"/>
    <w:basedOn w:val="Normal"/>
    <w:pPr>
      <w:spacing w:before="0" w:after="57"/>
      <w:ind w:left="283" w:right="0" w:hanging="0"/>
    </w:pPr>
    <w:rPr/>
  </w:style>
  <w:style w:type="paragraph" w:styleId="TOC3">
    <w:name w:val="TOC 3"/>
    <w:basedOn w:val="Normal"/>
    <w:pPr>
      <w:spacing w:before="0" w:after="57"/>
      <w:ind w:left="567" w:right="0" w:hanging="0"/>
    </w:pPr>
    <w:rPr/>
  </w:style>
  <w:style w:type="paragraph" w:styleId="TOC4">
    <w:name w:val="TOC 4"/>
    <w:basedOn w:val="Normal"/>
    <w:pPr>
      <w:spacing w:before="0" w:after="57"/>
      <w:ind w:left="850" w:right="0" w:hanging="0"/>
    </w:pPr>
    <w:rPr/>
  </w:style>
  <w:style w:type="paragraph" w:styleId="TOC5">
    <w:name w:val="TOC 5"/>
    <w:basedOn w:val="Normal"/>
    <w:pPr>
      <w:spacing w:before="0" w:after="57"/>
      <w:ind w:left="1134" w:right="0" w:hanging="0"/>
    </w:pPr>
    <w:rPr/>
  </w:style>
  <w:style w:type="paragraph" w:styleId="TOC6">
    <w:name w:val="TOC 6"/>
    <w:basedOn w:val="Normal"/>
    <w:pPr>
      <w:spacing w:before="0" w:after="57"/>
      <w:ind w:left="1417" w:right="0" w:hanging="0"/>
    </w:pPr>
    <w:rPr/>
  </w:style>
  <w:style w:type="paragraph" w:styleId="TOC7">
    <w:name w:val="TOC 7"/>
    <w:basedOn w:val="Normal"/>
    <w:pPr>
      <w:spacing w:before="0" w:after="57"/>
      <w:ind w:left="1701" w:right="0" w:hanging="0"/>
    </w:pPr>
    <w:rPr/>
  </w:style>
  <w:style w:type="paragraph" w:styleId="TOC8">
    <w:name w:val="TOC 8"/>
    <w:basedOn w:val="Normal"/>
    <w:pPr>
      <w:spacing w:before="0" w:after="57"/>
      <w:ind w:left="1984" w:right="0" w:hanging="0"/>
    </w:pPr>
    <w:rPr/>
  </w:style>
  <w:style w:type="paragraph" w:styleId="TOC9">
    <w:name w:val="TOC 9"/>
    <w:basedOn w:val="Normal"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qFormat/>
    <w:pPr>
      <w:spacing w:before="0" w:after="0"/>
    </w:pPr>
    <w:rPr/>
  </w:style>
  <w:style w:type="paragraph" w:styleId="141">
    <w:name w:val="Основной текст (14)"/>
    <w:basedOn w:val="Normal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2">
    <w:name w:val="Подпись к таблице (2)"/>
    <w:basedOn w:val="Normal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3">
    <w:name w:val="Основной текст (2)"/>
    <w:basedOn w:val="Normal"/>
    <w:qFormat/>
    <w:pPr>
      <w:widowControl w:val="false"/>
      <w:shd w:val="clear" w:color="auto" w:fill="FFFFFF"/>
      <w:spacing w:lineRule="exact" w:line="321" w:before="0" w:after="320"/>
      <w:ind w:left="0" w:right="0"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ru-RU" w:eastAsia="en-US" w:bidi="ar-SA"/>
    </w:rPr>
  </w:style>
  <w:style w:type="paragraph" w:styleId="Style6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styleId="654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5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58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59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0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1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8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9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0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1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2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3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6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7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8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9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0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1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683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684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685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686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687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688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689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6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6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6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6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6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6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696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6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6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6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3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0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18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19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20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21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22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23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24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5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6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7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8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9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0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1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2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3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4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5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6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7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5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52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7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7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7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7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7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7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73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774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775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776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777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778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779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58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1</Pages>
  <Words>81</Words>
  <Characters>556</Characters>
  <CharactersWithSpaces>619</CharactersWithSpaces>
  <Paragraphs>18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2023-06-28T01:40:00Z</dcterms:created>
  <dc:creator>Семенова Елена Витальевна</dc:creator>
  <dc:description/>
  <dc:language>ru-RU</dc:language>
  <cp:lastModifiedBy>chuvashev_vb@DGK.RU</cp:lastModifiedBy>
  <dcterms:modified xsi:type="dcterms:W3CDTF">2026-02-02T08:30:33Z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